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国务院办公厅关于进一步完善失信约束制度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构建诚信建设长效机制的指导意见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国办发〔2020〕49号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改革和政府职能转变、营造公平诚信的市场环境和社会环境等方面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在社会信用体系建设工作推进和实践探索中，要把握好以下重要原则：一是严格依法依规，失信行为记录、严重失信主体名单认定和失信惩戒等事关个人、企业等各类主体切身利益，必须严格在法治轨道内运行。二是准确界定范围，准确界定信用信息和严重失信主体名单认定范围，合理把握失信惩戒措施，坚决防止不当使用甚至滥用。三是确保过惩相当，按照失信行为发生的领域、情节轻重、影响程度等，严格依法分别实施不同类型、不同力度的惩戒措施，切实保护信用主体合法权益。四是借鉴国际经验，既立足我国国情，又充分参考国际惯例，在社会关注度高、认识尚不统一的领域慎重推进信用体系建设，推动相关措施与国际接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二、科学界定公共信用信息纳入范围和程序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一）明确界定公共信用信息范围。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二）严格规范失信行为认定依据。行政机关认定失信行为必须以具有法律效力的文书为依据。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三、规范公共信用信息共享公开范围和程序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三）规范公共信用信息共享范围和程序。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四）依法依规确定公共信用信息公开范围。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五）加强对公共信用信息公开渠道的统筹管理。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四、规范严重失信主体名单认定标准和程序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六）严格限定严重失信主体名单设列领域范围。设列严重失信主体名单的领域，必须以法律、法规或者党中央、国务院政策文件为依据，任何部门（单位）不得擅自增加或扩展。设列严重失信主体名单的范围，严格按照《国务院关于建立完善守信联合激励和失信联合惩戒制度加快推进社会诚信建设的指导意见》（国发〔2016〕33号）规定，限制为严重危害人民群众身体健康和生命安全、严重破坏市场公平竞争秩序和社会正常秩序、拒不履行法定义务严重影响司法机关和行政机关公信力、拒不履行国防义务等严重违法失信行为的责任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七）严格规范严重失信主体名单认定标准。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30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八）严格履行严重失信主体名单认定程序。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严重失信主体名单原则上应当由县级以上（含县级）人民政府有关部门按照相关标准认定，法律、法规和部门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五、依法依规开展失信惩戒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九）依法依规确定失信惩戒措施。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十）确保过惩相当。按照合法、关联、比例原则，依照失信惩戒措施清单，根据失信行为的性质和严重程度，采取轻重适度的惩戒措施，防止小过重惩。任何部门（单位）不得以现行规定对失信行为惩戒力度不足为由，在法律、法规或者党中央、国务院政策文件规定外增设惩戒措施或在法定惩戒标准上加重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六、健全和完善信用修复机制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十一）建立健全信用修复配套机制。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十二）提高信用修复效率。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七、加强信息安全和隐私保护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十三）加强信用信息安全管理。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十四）加大个人隐私保护力度。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八、着力加强信用法治建设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十五）加快推动信用法律法规建设。坚持遵循法治轨道，加快研究推进社会信用方面法律法规的立法进程，理顺失信惩戒与行政管理措施的关系，夯实法治基础。现行法律、法规对失信行为惩戒力度不足、确有必要加大惩戒力度的，各地区、各有关部门应当及时提出修法建议，确保失信惩戒严格依法依规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十六）严格依法依规推动社会信用体系建设。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九、加强组织实施保障</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落实主体责任。各行业主管（监管）部门要切实履行本行业信用监管主体责任，依法依规做好失信行为认定、记录、归集、共享、公开、惩戒和信用修复等工作，部际联席会议牵头单位要协调司法机关以及其他已获明确授权的责任单位做好相关工作。地方各级社会信用体系建设牵头单位要切实履行统筹协调职责，对本区域内社会信用体系建设工作加强规范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强化追责问责。对在公共信用信息目录外违法违规记录、共享、公开信用信息，在失信惩戒措施清单外违法违规实施惩戒措施，以及不按标准和程序擅自认定严重失信主体名单、不按规定及时办理信用修复等行为，要依法依规追究相关单位和人员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加强宣传解读。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把握时间节点。各地区、各有关部门要按照本意见要求，对已经出台的失信行为认定、记录、归集、共享、公开、惩戒和信用修复等措施进行梳理评估，对不符合本意见要求的要及时规范。对有明确依据可继续保留的严重失信主体名单制度设置过渡期，在2021年底前按本意见要求对需要调整的名单认定标准和程序进行更新，过渡期后与本意见要求不符的一律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right"/>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right"/>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2020年12月7日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both"/>
        <w:rPr>
          <w:rFonts w:hint="eastAsia" w:ascii="微软雅黑" w:hAnsi="微软雅黑" w:eastAsia="微软雅黑" w:cs="微软雅黑"/>
          <w:i w:val="0"/>
          <w:iCs w:val="0"/>
          <w:caps w:val="0"/>
          <w:color w:val="666666"/>
          <w:spacing w:val="15"/>
          <w:sz w:val="21"/>
          <w:szCs w:val="21"/>
        </w:rPr>
      </w:pPr>
      <w:r>
        <w:rPr>
          <w:rFonts w:hint="eastAsia" w:ascii="微软雅黑" w:hAnsi="微软雅黑" w:eastAsia="微软雅黑" w:cs="微软雅黑"/>
          <w:i w:val="0"/>
          <w:iCs w:val="0"/>
          <w:caps w:val="0"/>
          <w:color w:val="666666"/>
          <w:spacing w:val="15"/>
          <w:sz w:val="21"/>
          <w:szCs w:val="21"/>
          <w:shd w:val="clear" w:fill="F6F6F6"/>
        </w:rPr>
        <w:t>　　（此件公开发布）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ZDljYjJiMmExMzhhMGM1ZWNjMGRjY2ZlZWNiMzMifQ=="/>
  </w:docVars>
  <w:rsids>
    <w:rsidRoot w:val="00000000"/>
    <w:rsid w:val="01AE0550"/>
    <w:rsid w:val="029F20FB"/>
    <w:rsid w:val="66686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44"/>
      <w:szCs w:val="4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4795</Words>
  <Characters>4811</Characters>
  <Lines>0</Lines>
  <Paragraphs>0</Paragraphs>
  <TotalTime>1</TotalTime>
  <ScaleCrop>false</ScaleCrop>
  <LinksUpToDate>false</LinksUpToDate>
  <CharactersWithSpaces>4893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2022-07-22T07:52:00Z</dcterms:created>
  <dc:creator>信用科</dc:creator>
  <cp:lastModifiedBy>寻找快乐</cp:lastModifiedBy>
  <dcterms:modified xsi:type="dcterms:W3CDTF">2024-07-08T08:04:25Z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D2D08F94AE504965B5FEF6DE0BDB0AB5</vt:lpwstr>
  </property>
</Properties>
</file>